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A035E" w14:textId="2F8456E3" w:rsidR="00C1673B" w:rsidRDefault="00AB7C35" w:rsidP="00A47785">
      <w:pPr>
        <w:pStyle w:val="Heading1"/>
      </w:pPr>
      <w:r>
        <w:t>Proposed Changes to ICCA Amnesty Program</w:t>
      </w:r>
    </w:p>
    <w:p w14:paraId="036E3010" w14:textId="77777777" w:rsidR="003A30C3" w:rsidRDefault="003A30C3">
      <w:r>
        <w:t>To: ICCA Board</w:t>
      </w:r>
      <w:r w:rsidR="00DB547B">
        <w:t xml:space="preserve"> </w:t>
      </w:r>
    </w:p>
    <w:p w14:paraId="60EC74E3" w14:textId="68D9523C" w:rsidR="00DB547B" w:rsidRDefault="003A30C3">
      <w:r>
        <w:t>From</w:t>
      </w:r>
      <w:r w:rsidR="00A47785">
        <w:t>:</w:t>
      </w:r>
      <w:r w:rsidR="00DB547B">
        <w:t xml:space="preserve"> </w:t>
      </w:r>
      <w:r w:rsidR="00077006">
        <w:t>Lara</w:t>
      </w:r>
      <w:r w:rsidR="00010CB0">
        <w:t xml:space="preserve"> Brya</w:t>
      </w:r>
      <w:r w:rsidR="00B000F3">
        <w:t>nt, J</w:t>
      </w:r>
      <w:r w:rsidR="00616C4B">
        <w:t>im Cuda</w:t>
      </w:r>
      <w:r w:rsidR="00E4712F">
        <w:t>hy</w:t>
      </w:r>
      <w:r w:rsidR="002378AE">
        <w:t>, and Luther</w:t>
      </w:r>
      <w:r w:rsidR="00961A99">
        <w:t xml:space="preserve"> Smith</w:t>
      </w:r>
      <w:r w:rsidR="000F2D72">
        <w:t xml:space="preserve"> </w:t>
      </w:r>
    </w:p>
    <w:p w14:paraId="5A0D0387" w14:textId="58B54EAB" w:rsidR="00A47785" w:rsidRDefault="00A47785">
      <w:r>
        <w:t>May 2025</w:t>
      </w:r>
    </w:p>
    <w:p w14:paraId="723CBA24" w14:textId="3DDD3028" w:rsidR="00DB547B" w:rsidRDefault="002979FB">
      <w:r w:rsidRPr="00A47785">
        <w:rPr>
          <w:b/>
          <w:bCs/>
        </w:rPr>
        <w:t>Background:</w:t>
      </w:r>
      <w:r w:rsidR="000B1AC8">
        <w:t xml:space="preserve"> In recent years, CCA program numbers have declined, and this is at least partially </w:t>
      </w:r>
      <w:r w:rsidR="006B56C5">
        <w:t>due</w:t>
      </w:r>
      <w:r w:rsidR="000B1AC8">
        <w:t xml:space="preserve"> to lapsed renewals. </w:t>
      </w:r>
      <w:r>
        <w:t xml:space="preserve">The amnesty policy is a one-time opportunity for lapsed CCAs to </w:t>
      </w:r>
      <w:r w:rsidR="002002C9">
        <w:t>return to the program</w:t>
      </w:r>
      <w:r w:rsidR="005D352F">
        <w:t xml:space="preserve">, given </w:t>
      </w:r>
      <w:r w:rsidR="00D8597F">
        <w:t>the challenges of recent years</w:t>
      </w:r>
      <w:r w:rsidR="00FF420E">
        <w:t xml:space="preserve"> – the pandemic and the economy</w:t>
      </w:r>
      <w:r w:rsidR="000B1AC8">
        <w:t>.</w:t>
      </w:r>
      <w:r w:rsidR="001B3F24">
        <w:t xml:space="preserve"> </w:t>
      </w:r>
      <w:r w:rsidR="009D1962">
        <w:t xml:space="preserve">Nearly 2000 people are eligible for this program, but to date, only 10 have applied. </w:t>
      </w:r>
      <w:r w:rsidR="00607D47">
        <w:t>Gi</w:t>
      </w:r>
      <w:r w:rsidR="00235D39">
        <w:t xml:space="preserve">ven the </w:t>
      </w:r>
      <w:r w:rsidR="004C3A04">
        <w:t>low appli</w:t>
      </w:r>
      <w:r w:rsidR="004B08AD">
        <w:t>cation nu</w:t>
      </w:r>
      <w:r w:rsidR="00927B0A">
        <w:t>mbers, s</w:t>
      </w:r>
      <w:r w:rsidR="00D40867">
        <w:t>taff off</w:t>
      </w:r>
      <w:r w:rsidR="00075347">
        <w:t xml:space="preserve">er the </w:t>
      </w:r>
      <w:r w:rsidR="007D6AD3">
        <w:t>followin</w:t>
      </w:r>
      <w:r w:rsidR="00364139">
        <w:t>g suggest</w:t>
      </w:r>
      <w:r w:rsidR="00D51DFD">
        <w:t xml:space="preserve">ions for the </w:t>
      </w:r>
      <w:r w:rsidR="00C67D5D">
        <w:t>Board</w:t>
      </w:r>
      <w:r w:rsidR="00515E63">
        <w:t>’s consi</w:t>
      </w:r>
      <w:r w:rsidR="009A04B8">
        <w:t>deration as</w:t>
      </w:r>
      <w:r w:rsidR="0039064A">
        <w:t xml:space="preserve"> possi</w:t>
      </w:r>
      <w:r w:rsidR="0094134F">
        <w:t>ble</w:t>
      </w:r>
      <w:r w:rsidR="00667341">
        <w:t xml:space="preserve"> refin</w:t>
      </w:r>
      <w:r w:rsidR="00C23240">
        <w:t>ements t</w:t>
      </w:r>
      <w:r w:rsidR="00044FD5">
        <w:t xml:space="preserve">o </w:t>
      </w:r>
      <w:r w:rsidR="00D52521">
        <w:t>the c</w:t>
      </w:r>
      <w:r w:rsidR="007B71E3">
        <w:t>urr</w:t>
      </w:r>
      <w:r w:rsidR="003C21A2">
        <w:t xml:space="preserve">ent </w:t>
      </w:r>
      <w:r w:rsidR="004841C2">
        <w:t xml:space="preserve">policy. </w:t>
      </w:r>
      <w:r w:rsidR="00655F9C">
        <w:t xml:space="preserve"> </w:t>
      </w:r>
    </w:p>
    <w:p w14:paraId="37E281B7" w14:textId="1D0F86EE" w:rsidR="00B93D87" w:rsidRDefault="00B93D87">
      <w:r>
        <w:t>B</w:t>
      </w:r>
      <w:r w:rsidR="00B30D9C">
        <w:t>elow is a</w:t>
      </w:r>
      <w:r w:rsidR="004A6E0A">
        <w:t xml:space="preserve"> side-</w:t>
      </w:r>
      <w:r w:rsidR="00985E92">
        <w:t>by-sid</w:t>
      </w:r>
      <w:r w:rsidR="00A62921">
        <w:t xml:space="preserve">e </w:t>
      </w:r>
      <w:r w:rsidR="003104C4">
        <w:t>summary of th</w:t>
      </w:r>
      <w:r w:rsidR="00F90D9B">
        <w:t>e current</w:t>
      </w:r>
      <w:r w:rsidR="00823018">
        <w:t xml:space="preserve"> and propo</w:t>
      </w:r>
      <w:r w:rsidR="0008387B">
        <w:t>sed requ</w:t>
      </w:r>
      <w:r w:rsidR="00C86F16">
        <w:t>i</w:t>
      </w:r>
      <w:r w:rsidR="00304CEE">
        <w:t>r</w:t>
      </w:r>
      <w:r w:rsidR="001260CD">
        <w:t>emen</w:t>
      </w:r>
      <w:r w:rsidR="006507FC">
        <w:t>ts</w:t>
      </w:r>
      <w:r w:rsidR="00260473">
        <w:t xml:space="preserve"> for </w:t>
      </w:r>
      <w:r w:rsidR="000F152E">
        <w:t>compariso</w:t>
      </w:r>
      <w:r w:rsidR="00AF4130">
        <w:t>n.</w:t>
      </w:r>
      <w:r w:rsidR="0031598B">
        <w:t xml:space="preserve"> </w:t>
      </w:r>
      <w:r w:rsidR="005C746F">
        <w:t>These sug</w:t>
      </w:r>
      <w:r w:rsidR="00F9221B">
        <w:t xml:space="preserve">gestions </w:t>
      </w:r>
      <w:r w:rsidR="00AD333B">
        <w:t xml:space="preserve">preserve the </w:t>
      </w:r>
      <w:r w:rsidR="00C04FF7">
        <w:t>fram</w:t>
      </w:r>
      <w:r w:rsidR="004D4114">
        <w:t>ewor</w:t>
      </w:r>
      <w:r w:rsidR="00646FDC">
        <w:t>k estab</w:t>
      </w:r>
      <w:r w:rsidR="00701D43">
        <w:t>lished by</w:t>
      </w:r>
      <w:r w:rsidR="00242D48">
        <w:t xml:space="preserve"> the Board</w:t>
      </w:r>
      <w:r w:rsidR="00E90BB7">
        <w:t>-appoi</w:t>
      </w:r>
      <w:r w:rsidR="00CF6A43">
        <w:t xml:space="preserve">nted </w:t>
      </w:r>
      <w:r w:rsidR="008C53FA">
        <w:t>task forc</w:t>
      </w:r>
      <w:r w:rsidR="00E85997">
        <w:t>e</w:t>
      </w:r>
      <w:r w:rsidR="007402E7">
        <w:t xml:space="preserve"> while refin</w:t>
      </w:r>
      <w:r w:rsidR="006F7476">
        <w:t xml:space="preserve">ing a </w:t>
      </w:r>
      <w:r w:rsidR="005949DD">
        <w:t xml:space="preserve">few </w:t>
      </w:r>
      <w:r w:rsidR="00EA42CE">
        <w:t>elements to increa</w:t>
      </w:r>
      <w:r w:rsidR="00F66F65">
        <w:t>se accessibil</w:t>
      </w:r>
      <w:r w:rsidR="00F764C6">
        <w:t>ity.</w:t>
      </w:r>
    </w:p>
    <w:p w14:paraId="0840B7A3" w14:textId="1715BC39" w:rsidR="00A47785" w:rsidRDefault="00A47785">
      <w:pPr>
        <w:rPr>
          <w:b/>
          <w:bCs/>
        </w:rPr>
      </w:pPr>
      <w:r w:rsidRPr="005D352F">
        <w:rPr>
          <w:b/>
          <w:bCs/>
        </w:rPr>
        <w:t>Current vs Proposed Amnesty Application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1C4A" w14:paraId="0E73319B" w14:textId="77777777" w:rsidTr="00F31C4A">
        <w:tc>
          <w:tcPr>
            <w:tcW w:w="4675" w:type="dxa"/>
          </w:tcPr>
          <w:p w14:paraId="06D6E4A1" w14:textId="5F202B03" w:rsidR="00F31C4A" w:rsidRDefault="00F31C4A">
            <w:pPr>
              <w:rPr>
                <w:b/>
                <w:bCs/>
              </w:rPr>
            </w:pPr>
            <w:r>
              <w:rPr>
                <w:b/>
                <w:bCs/>
              </w:rPr>
              <w:t>Current Policy</w:t>
            </w:r>
          </w:p>
        </w:tc>
        <w:tc>
          <w:tcPr>
            <w:tcW w:w="4675" w:type="dxa"/>
          </w:tcPr>
          <w:p w14:paraId="7D0D9DFF" w14:textId="693B00E3" w:rsidR="00F31C4A" w:rsidRDefault="00F31C4A">
            <w:pPr>
              <w:rPr>
                <w:b/>
                <w:bCs/>
              </w:rPr>
            </w:pPr>
            <w:r>
              <w:rPr>
                <w:b/>
                <w:bCs/>
              </w:rPr>
              <w:t>Proposed Policy</w:t>
            </w:r>
          </w:p>
        </w:tc>
      </w:tr>
      <w:tr w:rsidR="00F31C4A" w14:paraId="5625562A" w14:textId="77777777" w:rsidTr="00F31C4A">
        <w:tc>
          <w:tcPr>
            <w:tcW w:w="4675" w:type="dxa"/>
          </w:tcPr>
          <w:p w14:paraId="7442C56C" w14:textId="1DC73FA4" w:rsidR="00F31C4A" w:rsidRPr="007C69F0" w:rsidRDefault="007C69F0">
            <w:r>
              <w:t>Certification lapse between 2-5 years</w:t>
            </w:r>
          </w:p>
        </w:tc>
        <w:tc>
          <w:tcPr>
            <w:tcW w:w="4675" w:type="dxa"/>
          </w:tcPr>
          <w:p w14:paraId="409CB054" w14:textId="00BA575A" w:rsidR="00F31C4A" w:rsidRDefault="007C69F0">
            <w:pPr>
              <w:rPr>
                <w:b/>
                <w:bCs/>
              </w:rPr>
            </w:pPr>
            <w:r>
              <w:t>Certification lapse between 2-5 years</w:t>
            </w:r>
          </w:p>
        </w:tc>
      </w:tr>
      <w:tr w:rsidR="00F31C4A" w:rsidRPr="007C69F0" w14:paraId="26A599E1" w14:textId="77777777" w:rsidTr="00F31C4A">
        <w:tc>
          <w:tcPr>
            <w:tcW w:w="4675" w:type="dxa"/>
          </w:tcPr>
          <w:p w14:paraId="71676651" w14:textId="6A787AC5" w:rsidR="00F31C4A" w:rsidRPr="007C69F0" w:rsidRDefault="007C69F0">
            <w:r w:rsidRPr="007C69F0">
              <w:t>First tim</w:t>
            </w:r>
            <w:r>
              <w:t>e requesting amnesty</w:t>
            </w:r>
          </w:p>
        </w:tc>
        <w:tc>
          <w:tcPr>
            <w:tcW w:w="4675" w:type="dxa"/>
          </w:tcPr>
          <w:p w14:paraId="26CD2232" w14:textId="310745AC" w:rsidR="00F31C4A" w:rsidRPr="007C69F0" w:rsidRDefault="007C69F0">
            <w:r w:rsidRPr="007C69F0">
              <w:t>First tim</w:t>
            </w:r>
            <w:r>
              <w:t>e requesting amnesty</w:t>
            </w:r>
          </w:p>
        </w:tc>
      </w:tr>
      <w:tr w:rsidR="00F31C4A" w:rsidRPr="007C69F0" w14:paraId="27509C55" w14:textId="77777777" w:rsidTr="00F31C4A">
        <w:tc>
          <w:tcPr>
            <w:tcW w:w="4675" w:type="dxa"/>
          </w:tcPr>
          <w:p w14:paraId="3A0D0BAE" w14:textId="75082F91" w:rsidR="00F31C4A" w:rsidRPr="007C69F0" w:rsidRDefault="007C69F0">
            <w:r>
              <w:t>Left program voluntarily</w:t>
            </w:r>
          </w:p>
        </w:tc>
        <w:tc>
          <w:tcPr>
            <w:tcW w:w="4675" w:type="dxa"/>
          </w:tcPr>
          <w:p w14:paraId="2185DBDE" w14:textId="2B7BA683" w:rsidR="00F31C4A" w:rsidRPr="007C69F0" w:rsidRDefault="007C69F0">
            <w:r>
              <w:t>Left program voluntarily</w:t>
            </w:r>
          </w:p>
        </w:tc>
      </w:tr>
      <w:tr w:rsidR="00F31C4A" w:rsidRPr="007C69F0" w14:paraId="090D889D" w14:textId="77777777" w:rsidTr="00F31C4A">
        <w:tc>
          <w:tcPr>
            <w:tcW w:w="4675" w:type="dxa"/>
          </w:tcPr>
          <w:p w14:paraId="5A8A23B2" w14:textId="2446F68A" w:rsidR="00F31C4A" w:rsidRPr="007C69F0" w:rsidRDefault="007C69F0">
            <w:r>
              <w:t>Letter of explanation</w:t>
            </w:r>
          </w:p>
        </w:tc>
        <w:tc>
          <w:tcPr>
            <w:tcW w:w="4675" w:type="dxa"/>
          </w:tcPr>
          <w:p w14:paraId="00885410" w14:textId="2DDD0C8A" w:rsidR="00F31C4A" w:rsidRPr="007C69F0" w:rsidRDefault="007C69F0">
            <w:r>
              <w:t>Letter of explanation</w:t>
            </w:r>
          </w:p>
        </w:tc>
      </w:tr>
      <w:tr w:rsidR="00F31C4A" w:rsidRPr="007C69F0" w14:paraId="35C3E245" w14:textId="77777777" w:rsidTr="00F31C4A">
        <w:tc>
          <w:tcPr>
            <w:tcW w:w="4675" w:type="dxa"/>
          </w:tcPr>
          <w:p w14:paraId="673E953F" w14:textId="32A06856" w:rsidR="00F31C4A" w:rsidRPr="007C69F0" w:rsidRDefault="00CD5B11">
            <w:r>
              <w:t>Two letters of reference, employer and client</w:t>
            </w:r>
          </w:p>
        </w:tc>
        <w:tc>
          <w:tcPr>
            <w:tcW w:w="4675" w:type="dxa"/>
          </w:tcPr>
          <w:p w14:paraId="66F08FA7" w14:textId="757BA418" w:rsidR="00F31C4A" w:rsidRPr="00CD5B11" w:rsidRDefault="00CD5B11">
            <w:pPr>
              <w:rPr>
                <w:b/>
                <w:bCs/>
              </w:rPr>
            </w:pPr>
            <w:r w:rsidRPr="00CD5B11">
              <w:rPr>
                <w:b/>
                <w:bCs/>
              </w:rPr>
              <w:t>No letters of reference required</w:t>
            </w:r>
          </w:p>
        </w:tc>
      </w:tr>
      <w:tr w:rsidR="00CD5B11" w:rsidRPr="007C69F0" w14:paraId="4B33342C" w14:textId="77777777" w:rsidTr="00F31C4A">
        <w:tc>
          <w:tcPr>
            <w:tcW w:w="4675" w:type="dxa"/>
          </w:tcPr>
          <w:p w14:paraId="04D9AFF0" w14:textId="592E521B" w:rsidR="00CD5B11" w:rsidRDefault="00CD5B11">
            <w:r>
              <w:t>Signed copy of the CCA Code of Ethics</w:t>
            </w:r>
          </w:p>
        </w:tc>
        <w:tc>
          <w:tcPr>
            <w:tcW w:w="4675" w:type="dxa"/>
          </w:tcPr>
          <w:p w14:paraId="2E3F3DD1" w14:textId="14D58A0A" w:rsidR="00CD5B11" w:rsidRDefault="00CD5B11">
            <w:r>
              <w:t>Signed copy of the CCA Code of Ethics</w:t>
            </w:r>
          </w:p>
        </w:tc>
      </w:tr>
      <w:tr w:rsidR="00CD5B11" w:rsidRPr="007C69F0" w14:paraId="1C5E2BB8" w14:textId="77777777" w:rsidTr="00F31C4A">
        <w:tc>
          <w:tcPr>
            <w:tcW w:w="4675" w:type="dxa"/>
          </w:tcPr>
          <w:p w14:paraId="1DA553F6" w14:textId="182E5060" w:rsidR="00CD5B11" w:rsidRDefault="001827A7">
            <w:r>
              <w:t>Approval by local board within 45 days</w:t>
            </w:r>
          </w:p>
        </w:tc>
        <w:tc>
          <w:tcPr>
            <w:tcW w:w="4675" w:type="dxa"/>
          </w:tcPr>
          <w:p w14:paraId="6A92CA0C" w14:textId="7CE62730" w:rsidR="00CD5B11" w:rsidRDefault="001827A7">
            <w:r>
              <w:t>Approval by local board within 45 days</w:t>
            </w:r>
          </w:p>
        </w:tc>
      </w:tr>
      <w:tr w:rsidR="00CD5B11" w:rsidRPr="007C69F0" w14:paraId="4170E1DF" w14:textId="77777777" w:rsidTr="00F31C4A">
        <w:tc>
          <w:tcPr>
            <w:tcW w:w="4675" w:type="dxa"/>
          </w:tcPr>
          <w:p w14:paraId="1BC0BCB6" w14:textId="7D9E92F8" w:rsidR="00CD5B11" w:rsidRDefault="001827A7">
            <w:r>
              <w:t xml:space="preserve">Pay exam fee within 30 days </w:t>
            </w:r>
          </w:p>
        </w:tc>
        <w:tc>
          <w:tcPr>
            <w:tcW w:w="4675" w:type="dxa"/>
          </w:tcPr>
          <w:p w14:paraId="4C144A3D" w14:textId="47793771" w:rsidR="00CD5B11" w:rsidRDefault="001827A7">
            <w:r>
              <w:t xml:space="preserve">Pay exam fee within 30 days </w:t>
            </w:r>
          </w:p>
        </w:tc>
      </w:tr>
      <w:tr w:rsidR="00CD5B11" w:rsidRPr="007C69F0" w14:paraId="295ABD8A" w14:textId="77777777" w:rsidTr="00F31C4A">
        <w:tc>
          <w:tcPr>
            <w:tcW w:w="4675" w:type="dxa"/>
          </w:tcPr>
          <w:p w14:paraId="3ED570AB" w14:textId="7055A003" w:rsidR="00CD5B11" w:rsidRDefault="00814A08">
            <w:r>
              <w:t>Earn 50 CEUs within 2 years</w:t>
            </w:r>
          </w:p>
        </w:tc>
        <w:tc>
          <w:tcPr>
            <w:tcW w:w="4675" w:type="dxa"/>
          </w:tcPr>
          <w:p w14:paraId="1D503700" w14:textId="124528DA" w:rsidR="00CD5B11" w:rsidRDefault="00814A08">
            <w:r>
              <w:t>Earn 50 CEUs within 2 years</w:t>
            </w:r>
          </w:p>
        </w:tc>
      </w:tr>
      <w:tr w:rsidR="00814A08" w:rsidRPr="007C69F0" w14:paraId="4BDF6B1B" w14:textId="77777777" w:rsidTr="00F31C4A">
        <w:tc>
          <w:tcPr>
            <w:tcW w:w="4675" w:type="dxa"/>
          </w:tcPr>
          <w:p w14:paraId="3362C49A" w14:textId="051891C5" w:rsidR="00814A08" w:rsidRDefault="0057156C">
            <w:r>
              <w:t>Program offered indefinitely</w:t>
            </w:r>
          </w:p>
        </w:tc>
        <w:tc>
          <w:tcPr>
            <w:tcW w:w="4675" w:type="dxa"/>
          </w:tcPr>
          <w:p w14:paraId="6F1D2348" w14:textId="38EA4514" w:rsidR="00814A08" w:rsidRPr="0057156C" w:rsidRDefault="0057156C">
            <w:pPr>
              <w:rPr>
                <w:b/>
                <w:bCs/>
              </w:rPr>
            </w:pPr>
            <w:r w:rsidRPr="0057156C">
              <w:rPr>
                <w:b/>
                <w:bCs/>
              </w:rPr>
              <w:t>Sunset policy by June 30, 2026</w:t>
            </w:r>
          </w:p>
        </w:tc>
      </w:tr>
    </w:tbl>
    <w:p w14:paraId="0EFD40F3" w14:textId="77777777" w:rsidR="00E80482" w:rsidRDefault="00E80482"/>
    <w:p w14:paraId="670FC054" w14:textId="7CAC7FFB" w:rsidR="0057156C" w:rsidRDefault="0057156C">
      <w:r>
        <w:t xml:space="preserve">Rationale: </w:t>
      </w:r>
    </w:p>
    <w:p w14:paraId="34CA4630" w14:textId="663A984C" w:rsidR="001A1C61" w:rsidRDefault="00644469">
      <w:r>
        <w:t>We propose only</w:t>
      </w:r>
      <w:r w:rsidR="00673DFE">
        <w:t xml:space="preserve"> </w:t>
      </w:r>
      <w:r w:rsidR="00673DFE" w:rsidRPr="00644469">
        <w:rPr>
          <w:b/>
          <w:bCs/>
        </w:rPr>
        <w:t>two changes</w:t>
      </w:r>
      <w:r w:rsidR="00673DFE">
        <w:t xml:space="preserve"> to </w:t>
      </w:r>
      <w:proofErr w:type="gramStart"/>
      <w:r w:rsidR="00673DFE">
        <w:t>current</w:t>
      </w:r>
      <w:proofErr w:type="gramEnd"/>
      <w:r w:rsidR="00673DFE">
        <w:t xml:space="preserve"> policy, but we believe these changes will reduce barriers </w:t>
      </w:r>
      <w:r w:rsidR="00E912EF">
        <w:t xml:space="preserve">to entry, </w:t>
      </w:r>
      <w:r w:rsidR="004E38D3">
        <w:t xml:space="preserve">while streamlining the application process. </w:t>
      </w:r>
    </w:p>
    <w:p w14:paraId="7F8EF5CF" w14:textId="008EC824" w:rsidR="0057156C" w:rsidRDefault="000848F1" w:rsidP="005E2ABC">
      <w:pPr>
        <w:pStyle w:val="ListParagraph"/>
        <w:numPr>
          <w:ilvl w:val="0"/>
          <w:numId w:val="1"/>
        </w:numPr>
      </w:pPr>
      <w:r w:rsidRPr="00046CAC">
        <w:t>We suggest</w:t>
      </w:r>
      <w:r w:rsidRPr="000848F1">
        <w:rPr>
          <w:b/>
          <w:bCs/>
        </w:rPr>
        <w:t xml:space="preserve"> removing the requirement for two reference letters (client and supervisor) for the 2–5-year lapse </w:t>
      </w:r>
      <w:proofErr w:type="gramStart"/>
      <w:r w:rsidRPr="000848F1">
        <w:rPr>
          <w:b/>
          <w:bCs/>
        </w:rPr>
        <w:t>group</w:t>
      </w:r>
      <w:r>
        <w:rPr>
          <w:b/>
          <w:bCs/>
        </w:rPr>
        <w:t>,</w:t>
      </w:r>
      <w:r w:rsidRPr="000848F1">
        <w:rPr>
          <w:b/>
          <w:bCs/>
        </w:rPr>
        <w:t xml:space="preserve"> </w:t>
      </w:r>
      <w:r w:rsidRPr="00046CAC">
        <w:t>and</w:t>
      </w:r>
      <w:proofErr w:type="gramEnd"/>
      <w:r w:rsidRPr="00046CAC">
        <w:t xml:space="preserve"> </w:t>
      </w:r>
      <w:r w:rsidR="00BD6E4A">
        <w:t xml:space="preserve">keeping </w:t>
      </w:r>
      <w:r w:rsidRPr="00046CAC">
        <w:t xml:space="preserve">the personal statement and </w:t>
      </w:r>
      <w:r w:rsidR="00DF41CD">
        <w:t>s</w:t>
      </w:r>
      <w:r w:rsidR="00AA14F1">
        <w:t>igned</w:t>
      </w:r>
      <w:r w:rsidRPr="00046CAC">
        <w:t xml:space="preserve"> Code of Ethics</w:t>
      </w:r>
      <w:r w:rsidRPr="000848F1">
        <w:rPr>
          <w:b/>
          <w:bCs/>
        </w:rPr>
        <w:t>.</w:t>
      </w:r>
      <w:r w:rsidRPr="000848F1">
        <w:t xml:space="preserve"> </w:t>
      </w:r>
      <w:r w:rsidR="005E2ABC" w:rsidRPr="005E2ABC">
        <w:t xml:space="preserve">Removing this requirement does not mean lowering </w:t>
      </w:r>
      <w:r w:rsidRPr="005E2ABC">
        <w:lastRenderedPageBreak/>
        <w:t>standards</w:t>
      </w:r>
      <w:r>
        <w:t xml:space="preserve">; it </w:t>
      </w:r>
      <w:r w:rsidR="005E2ABC" w:rsidRPr="005E2ABC">
        <w:t xml:space="preserve">is a shift in </w:t>
      </w:r>
      <w:r w:rsidR="005E2ABC" w:rsidRPr="005E2ABC">
        <w:rPr>
          <w:i/>
          <w:iCs/>
        </w:rPr>
        <w:t>how</w:t>
      </w:r>
      <w:r w:rsidR="005E2ABC" w:rsidRPr="005E2ABC">
        <w:t xml:space="preserve"> we affirm a returning CCA's intent to recommit. The written explanation and re-signing the Code of Ethics remain critical points of accountability.</w:t>
      </w:r>
    </w:p>
    <w:p w14:paraId="7066BFFF" w14:textId="1D73E43B" w:rsidR="004A68CF" w:rsidRDefault="004A68CF" w:rsidP="005E2ABC">
      <w:pPr>
        <w:pStyle w:val="ListParagraph"/>
        <w:numPr>
          <w:ilvl w:val="0"/>
          <w:numId w:val="1"/>
        </w:numPr>
      </w:pPr>
      <w:r w:rsidRPr="004A68CF">
        <w:t xml:space="preserve">To </w:t>
      </w:r>
      <w:r w:rsidR="00A84AB0">
        <w:t>ensur</w:t>
      </w:r>
      <w:r w:rsidR="00B47883">
        <w:t>e</w:t>
      </w:r>
      <w:r w:rsidRPr="004A68CF">
        <w:t xml:space="preserve"> fairness</w:t>
      </w:r>
      <w:r w:rsidR="009E6AFA">
        <w:t xml:space="preserve"> to</w:t>
      </w:r>
      <w:r w:rsidR="00CC524C">
        <w:t xml:space="preserve"> current C</w:t>
      </w:r>
      <w:r w:rsidR="00FD01F7">
        <w:t>CAs and</w:t>
      </w:r>
      <w:r w:rsidR="000E05E9">
        <w:t xml:space="preserve"> reinfo</w:t>
      </w:r>
      <w:r w:rsidR="00924E8F">
        <w:t xml:space="preserve">rce </w:t>
      </w:r>
      <w:r w:rsidR="00B558C8">
        <w:t>that this is</w:t>
      </w:r>
      <w:r w:rsidR="00926DBD">
        <w:t xml:space="preserve"> a</w:t>
      </w:r>
      <w:r w:rsidRPr="004A68CF">
        <w:t xml:space="preserve"> one-time opportunity, we recommend </w:t>
      </w:r>
      <w:r w:rsidRPr="00471B3D">
        <w:rPr>
          <w:b/>
          <w:bCs/>
        </w:rPr>
        <w:t>sunsetting the Amnesty Program by</w:t>
      </w:r>
      <w:r>
        <w:t xml:space="preserve"> </w:t>
      </w:r>
      <w:r w:rsidRPr="004A68CF">
        <w:rPr>
          <w:b/>
          <w:bCs/>
        </w:rPr>
        <w:t>June 30, 2026</w:t>
      </w:r>
      <w:r>
        <w:rPr>
          <w:b/>
          <w:bCs/>
        </w:rPr>
        <w:t>.</w:t>
      </w:r>
      <w:r w:rsidR="00552E0F">
        <w:rPr>
          <w:b/>
          <w:bCs/>
        </w:rPr>
        <w:t xml:space="preserve"> </w:t>
      </w:r>
      <w:r w:rsidR="00552E0F" w:rsidRPr="00552E0F">
        <w:t>This ensures the program addresses temporary circumstances—such as disruptions from the pandemic and economic instability—without becoming a recurring option.</w:t>
      </w:r>
      <w:r w:rsidR="00552E0F">
        <w:t xml:space="preserve"> </w:t>
      </w:r>
      <w:r w:rsidR="000023A6">
        <w:t xml:space="preserve">The </w:t>
      </w:r>
      <w:r w:rsidR="003859D8">
        <w:t>time limit</w:t>
      </w:r>
      <w:r w:rsidR="00A33F82">
        <w:t xml:space="preserve"> may also increase the incentive to apply</w:t>
      </w:r>
      <w:r w:rsidR="000023A6">
        <w:t xml:space="preserve">; we have seen a similar effect by offering exams in windows rather than all-year round. </w:t>
      </w:r>
    </w:p>
    <w:p w14:paraId="3527C337" w14:textId="7FE76099" w:rsidR="00BA46DF" w:rsidRDefault="00BA46DF" w:rsidP="00BA46DF">
      <w:r>
        <w:t xml:space="preserve">Maintaining high standards for the CCA credential is non-negotiable. So is making sure our program evolves to reflect today’s workforce realities. This refinement </w:t>
      </w:r>
      <w:r w:rsidR="001A4CBA">
        <w:t>aim</w:t>
      </w:r>
      <w:r w:rsidR="00420DD5">
        <w:t>s</w:t>
      </w:r>
      <w:r w:rsidR="00B225F0">
        <w:t xml:space="preserve"> to</w:t>
      </w:r>
      <w:r>
        <w:t xml:space="preserve"> welcome back professionals who continue to work in agriculture</w:t>
      </w:r>
      <w:r w:rsidR="000D1D71">
        <w:t>, but temporary</w:t>
      </w:r>
      <w:r>
        <w:t xml:space="preserve"> circumstances led them to lapse.</w:t>
      </w:r>
    </w:p>
    <w:p w14:paraId="5E52880F" w14:textId="037E6E4C" w:rsidR="00BA46DF" w:rsidRPr="007C69F0" w:rsidRDefault="00BA46DF" w:rsidP="00BA46DF">
      <w:r>
        <w:t xml:space="preserve">Our hope is that this program strengthens—not weakens—the credential by restoring relationships, renewing commitments, and reinforcing our shared values. We </w:t>
      </w:r>
      <w:r w:rsidR="00B76A23">
        <w:t>loo</w:t>
      </w:r>
      <w:r w:rsidR="00387714">
        <w:t>k forward t</w:t>
      </w:r>
      <w:r w:rsidR="006C66D4">
        <w:t>o hearing your th</w:t>
      </w:r>
      <w:r w:rsidR="004E586E">
        <w:t xml:space="preserve">oughts and </w:t>
      </w:r>
      <w:r w:rsidR="0074704E">
        <w:t>working to</w:t>
      </w:r>
      <w:r w:rsidR="00D222AE">
        <w:t>gether to</w:t>
      </w:r>
      <w:r w:rsidR="00806C4E">
        <w:t xml:space="preserve"> </w:t>
      </w:r>
      <w:r w:rsidR="00ED1796">
        <w:t>ensu</w:t>
      </w:r>
      <w:r w:rsidR="00316885">
        <w:t>re the a</w:t>
      </w:r>
      <w:r w:rsidR="00C84644">
        <w:t>mnesty pr</w:t>
      </w:r>
      <w:r w:rsidR="00877641">
        <w:t>ogram fu</w:t>
      </w:r>
      <w:r w:rsidR="00577437">
        <w:t>l</w:t>
      </w:r>
      <w:r w:rsidR="00111364">
        <w:t>fill</w:t>
      </w:r>
      <w:r w:rsidR="00AA0AEE">
        <w:t>s its promis</w:t>
      </w:r>
      <w:r w:rsidR="00174E94">
        <w:t xml:space="preserve">e </w:t>
      </w:r>
      <w:r w:rsidR="00F23083">
        <w:t>– to recon</w:t>
      </w:r>
      <w:r w:rsidR="00C73936">
        <w:t>nect ca</w:t>
      </w:r>
      <w:r w:rsidR="000816CE">
        <w:t>pable pro</w:t>
      </w:r>
      <w:r w:rsidR="00B973F3">
        <w:t>fessiona</w:t>
      </w:r>
      <w:r w:rsidR="00B808AC">
        <w:t>ls with a c</w:t>
      </w:r>
      <w:r w:rsidR="004858A5">
        <w:t>redenti</w:t>
      </w:r>
      <w:r w:rsidR="00A50B1B">
        <w:t>al that re</w:t>
      </w:r>
      <w:r w:rsidR="00610693">
        <w:t xml:space="preserve">flects </w:t>
      </w:r>
      <w:r w:rsidR="00B85020">
        <w:t>their ex</w:t>
      </w:r>
      <w:r w:rsidR="0084137F">
        <w:t>pertis</w:t>
      </w:r>
      <w:r w:rsidR="00492902">
        <w:t>e and v</w:t>
      </w:r>
      <w:r w:rsidR="004E6EFC">
        <w:t xml:space="preserve">alues. </w:t>
      </w:r>
    </w:p>
    <w:sectPr w:rsidR="00BA46DF" w:rsidRPr="007C6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F573F"/>
    <w:multiLevelType w:val="hybridMultilevel"/>
    <w:tmpl w:val="6BF28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86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E2"/>
    <w:rsid w:val="000023A6"/>
    <w:rsid w:val="00010CB0"/>
    <w:rsid w:val="00036BC2"/>
    <w:rsid w:val="00044FD5"/>
    <w:rsid w:val="00046CAC"/>
    <w:rsid w:val="00053B65"/>
    <w:rsid w:val="00075347"/>
    <w:rsid w:val="00077006"/>
    <w:rsid w:val="000816CE"/>
    <w:rsid w:val="0008387B"/>
    <w:rsid w:val="000848F1"/>
    <w:rsid w:val="000B1AC8"/>
    <w:rsid w:val="000D1D71"/>
    <w:rsid w:val="000E05E9"/>
    <w:rsid w:val="000F152E"/>
    <w:rsid w:val="000F2D72"/>
    <w:rsid w:val="000F4B9C"/>
    <w:rsid w:val="00111364"/>
    <w:rsid w:val="001260CD"/>
    <w:rsid w:val="00174E94"/>
    <w:rsid w:val="001827A7"/>
    <w:rsid w:val="001A1C61"/>
    <w:rsid w:val="001A2F98"/>
    <w:rsid w:val="001A4CBA"/>
    <w:rsid w:val="001B3F24"/>
    <w:rsid w:val="001C6B82"/>
    <w:rsid w:val="001C793A"/>
    <w:rsid w:val="002002C9"/>
    <w:rsid w:val="00216DCF"/>
    <w:rsid w:val="00235D39"/>
    <w:rsid w:val="002378AE"/>
    <w:rsid w:val="00242D48"/>
    <w:rsid w:val="00260473"/>
    <w:rsid w:val="002979FB"/>
    <w:rsid w:val="002C1469"/>
    <w:rsid w:val="003019D0"/>
    <w:rsid w:val="00304CEE"/>
    <w:rsid w:val="003104C4"/>
    <w:rsid w:val="0031598B"/>
    <w:rsid w:val="00316885"/>
    <w:rsid w:val="00335C34"/>
    <w:rsid w:val="00356CD7"/>
    <w:rsid w:val="00364139"/>
    <w:rsid w:val="003859D8"/>
    <w:rsid w:val="00387714"/>
    <w:rsid w:val="0039064A"/>
    <w:rsid w:val="003A30C3"/>
    <w:rsid w:val="003C21A2"/>
    <w:rsid w:val="00404BE2"/>
    <w:rsid w:val="00420DD5"/>
    <w:rsid w:val="00471B3D"/>
    <w:rsid w:val="004841C2"/>
    <w:rsid w:val="004858A5"/>
    <w:rsid w:val="00492902"/>
    <w:rsid w:val="004A68CF"/>
    <w:rsid w:val="004A6E0A"/>
    <w:rsid w:val="004B08AD"/>
    <w:rsid w:val="004C3A04"/>
    <w:rsid w:val="004D3F70"/>
    <w:rsid w:val="004D4114"/>
    <w:rsid w:val="004E38D3"/>
    <w:rsid w:val="004E586E"/>
    <w:rsid w:val="004E6EFC"/>
    <w:rsid w:val="00515E63"/>
    <w:rsid w:val="00552E0F"/>
    <w:rsid w:val="0057156C"/>
    <w:rsid w:val="00577437"/>
    <w:rsid w:val="00592B10"/>
    <w:rsid w:val="005949DD"/>
    <w:rsid w:val="005C746F"/>
    <w:rsid w:val="005D352F"/>
    <w:rsid w:val="005E2ABC"/>
    <w:rsid w:val="005E5815"/>
    <w:rsid w:val="00607D47"/>
    <w:rsid w:val="00610693"/>
    <w:rsid w:val="00616C4B"/>
    <w:rsid w:val="00634376"/>
    <w:rsid w:val="00644469"/>
    <w:rsid w:val="00646FDC"/>
    <w:rsid w:val="006507FC"/>
    <w:rsid w:val="00655F9C"/>
    <w:rsid w:val="00667341"/>
    <w:rsid w:val="00673DFE"/>
    <w:rsid w:val="006B56C5"/>
    <w:rsid w:val="006C66D4"/>
    <w:rsid w:val="006E0B5D"/>
    <w:rsid w:val="006F7476"/>
    <w:rsid w:val="00701D43"/>
    <w:rsid w:val="00712350"/>
    <w:rsid w:val="007402E7"/>
    <w:rsid w:val="0074704E"/>
    <w:rsid w:val="00797710"/>
    <w:rsid w:val="007B545B"/>
    <w:rsid w:val="007B71E3"/>
    <w:rsid w:val="007C69F0"/>
    <w:rsid w:val="007D6AD3"/>
    <w:rsid w:val="007E72DC"/>
    <w:rsid w:val="0080348D"/>
    <w:rsid w:val="00806C4E"/>
    <w:rsid w:val="00814A08"/>
    <w:rsid w:val="00823018"/>
    <w:rsid w:val="0084137F"/>
    <w:rsid w:val="00877641"/>
    <w:rsid w:val="00882DAC"/>
    <w:rsid w:val="008C53FA"/>
    <w:rsid w:val="008D1104"/>
    <w:rsid w:val="00924E8F"/>
    <w:rsid w:val="00926DBD"/>
    <w:rsid w:val="00927B0A"/>
    <w:rsid w:val="0094134F"/>
    <w:rsid w:val="00961A99"/>
    <w:rsid w:val="00985E92"/>
    <w:rsid w:val="00991591"/>
    <w:rsid w:val="009A04B8"/>
    <w:rsid w:val="009D1962"/>
    <w:rsid w:val="009D4F09"/>
    <w:rsid w:val="009E4A75"/>
    <w:rsid w:val="009E6AFA"/>
    <w:rsid w:val="00A032B6"/>
    <w:rsid w:val="00A27ABE"/>
    <w:rsid w:val="00A33F82"/>
    <w:rsid w:val="00A47785"/>
    <w:rsid w:val="00A50B1B"/>
    <w:rsid w:val="00A62921"/>
    <w:rsid w:val="00A66DA3"/>
    <w:rsid w:val="00A8247D"/>
    <w:rsid w:val="00A84AB0"/>
    <w:rsid w:val="00AA0AEE"/>
    <w:rsid w:val="00AA14F1"/>
    <w:rsid w:val="00AB7C35"/>
    <w:rsid w:val="00AC79C3"/>
    <w:rsid w:val="00AD333B"/>
    <w:rsid w:val="00AF4130"/>
    <w:rsid w:val="00B000F3"/>
    <w:rsid w:val="00B012DD"/>
    <w:rsid w:val="00B225F0"/>
    <w:rsid w:val="00B30D9C"/>
    <w:rsid w:val="00B40D47"/>
    <w:rsid w:val="00B47883"/>
    <w:rsid w:val="00B558C8"/>
    <w:rsid w:val="00B57B6E"/>
    <w:rsid w:val="00B65217"/>
    <w:rsid w:val="00B76A23"/>
    <w:rsid w:val="00B808AC"/>
    <w:rsid w:val="00B85020"/>
    <w:rsid w:val="00B93D87"/>
    <w:rsid w:val="00B973F3"/>
    <w:rsid w:val="00BA46DF"/>
    <w:rsid w:val="00BC1097"/>
    <w:rsid w:val="00BD6E4A"/>
    <w:rsid w:val="00C04FF7"/>
    <w:rsid w:val="00C1673B"/>
    <w:rsid w:val="00C23240"/>
    <w:rsid w:val="00C67D5D"/>
    <w:rsid w:val="00C73936"/>
    <w:rsid w:val="00C84644"/>
    <w:rsid w:val="00C86F16"/>
    <w:rsid w:val="00CA4CE3"/>
    <w:rsid w:val="00CC524C"/>
    <w:rsid w:val="00CD5B11"/>
    <w:rsid w:val="00CF6211"/>
    <w:rsid w:val="00CF6A43"/>
    <w:rsid w:val="00D21B65"/>
    <w:rsid w:val="00D222AE"/>
    <w:rsid w:val="00D3788D"/>
    <w:rsid w:val="00D40867"/>
    <w:rsid w:val="00D51DFD"/>
    <w:rsid w:val="00D52521"/>
    <w:rsid w:val="00D73918"/>
    <w:rsid w:val="00D8597F"/>
    <w:rsid w:val="00DB27A5"/>
    <w:rsid w:val="00DB547B"/>
    <w:rsid w:val="00DF41CD"/>
    <w:rsid w:val="00E4712F"/>
    <w:rsid w:val="00E80482"/>
    <w:rsid w:val="00E83502"/>
    <w:rsid w:val="00E85997"/>
    <w:rsid w:val="00E90BB7"/>
    <w:rsid w:val="00E912EF"/>
    <w:rsid w:val="00EA42CE"/>
    <w:rsid w:val="00EB6C8C"/>
    <w:rsid w:val="00EC228A"/>
    <w:rsid w:val="00ED1796"/>
    <w:rsid w:val="00ED7BEB"/>
    <w:rsid w:val="00F107B3"/>
    <w:rsid w:val="00F127BD"/>
    <w:rsid w:val="00F23083"/>
    <w:rsid w:val="00F31C4A"/>
    <w:rsid w:val="00F330CB"/>
    <w:rsid w:val="00F66865"/>
    <w:rsid w:val="00F66F65"/>
    <w:rsid w:val="00F764C6"/>
    <w:rsid w:val="00F90D9B"/>
    <w:rsid w:val="00F9221B"/>
    <w:rsid w:val="00FA2F51"/>
    <w:rsid w:val="00FA4487"/>
    <w:rsid w:val="00FD01F7"/>
    <w:rsid w:val="00F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3E076"/>
  <w15:chartTrackingRefBased/>
  <w15:docId w15:val="{5D376493-579D-4032-97F3-D5801A9C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B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B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B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B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B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B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B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B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Bryant</dc:creator>
  <cp:keywords/>
  <dc:description/>
  <cp:lastModifiedBy>Lara Bryant</cp:lastModifiedBy>
  <cp:revision>5</cp:revision>
  <dcterms:created xsi:type="dcterms:W3CDTF">2025-05-21T13:50:00Z</dcterms:created>
  <dcterms:modified xsi:type="dcterms:W3CDTF">2025-05-21T13:53:00Z</dcterms:modified>
</cp:coreProperties>
</file>